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065" w:type="dxa"/>
        <w:tblInd w:w="-289" w:type="dxa"/>
        <w:tblLook w:val="04A0" w:firstRow="1" w:lastRow="0" w:firstColumn="1" w:lastColumn="0" w:noHBand="0" w:noVBand="1"/>
      </w:tblPr>
      <w:tblGrid>
        <w:gridCol w:w="522"/>
        <w:gridCol w:w="2271"/>
        <w:gridCol w:w="2590"/>
        <w:gridCol w:w="4682"/>
      </w:tblGrid>
      <w:tr w:rsidR="00606A2E" w:rsidRPr="008E6FC5" w14:paraId="0361EC82" w14:textId="77777777" w:rsidTr="00415A59">
        <w:trPr>
          <w:trHeight w:val="2240"/>
        </w:trPr>
        <w:tc>
          <w:tcPr>
            <w:tcW w:w="522" w:type="dxa"/>
          </w:tcPr>
          <w:p w14:paraId="229B8914" w14:textId="1668699E" w:rsidR="00606A2E" w:rsidRDefault="00606A2E" w:rsidP="00606A2E">
            <w:pPr>
              <w:pStyle w:val="Sinespaciado"/>
              <w:rPr>
                <w:rFonts w:ascii="Arial" w:hAnsi="Arial" w:cs="Arial"/>
                <w:color w:val="000000" w:themeColor="text1"/>
              </w:rPr>
            </w:pPr>
            <w:r>
              <w:rPr>
                <w:rFonts w:ascii="Arial" w:hAnsi="Arial" w:cs="Arial"/>
                <w:color w:val="000000" w:themeColor="text1"/>
              </w:rPr>
              <w:t>17.</w:t>
            </w:r>
          </w:p>
        </w:tc>
        <w:tc>
          <w:tcPr>
            <w:tcW w:w="2271" w:type="dxa"/>
          </w:tcPr>
          <w:p w14:paraId="641A3CC4" w14:textId="77777777" w:rsidR="00606A2E" w:rsidRPr="00DF59E8" w:rsidRDefault="00606A2E" w:rsidP="00606A2E">
            <w:pPr>
              <w:widowControl w:val="0"/>
              <w:tabs>
                <w:tab w:val="left" w:pos="619"/>
                <w:tab w:val="left" w:pos="621"/>
              </w:tabs>
              <w:autoSpaceDE w:val="0"/>
              <w:autoSpaceDN w:val="0"/>
              <w:spacing w:line="240" w:lineRule="auto"/>
              <w:ind w:right="170"/>
              <w:rPr>
                <w:rFonts w:cs="Calibri"/>
                <w:sz w:val="22"/>
                <w:szCs w:val="22"/>
              </w:rPr>
            </w:pPr>
            <w:r w:rsidRPr="00DF59E8">
              <w:rPr>
                <w:rFonts w:cs="Calibri"/>
                <w:sz w:val="22"/>
                <w:szCs w:val="22"/>
              </w:rPr>
              <w:t>Apoyo en la consolidación del Reporte del informe denominado Hechos Económicos y Bienes Inmuebles por parte de la Regional y los Centros de Formación.</w:t>
            </w:r>
          </w:p>
          <w:p w14:paraId="43E68D3F" w14:textId="0CC35D1F" w:rsidR="00606A2E" w:rsidRPr="00835895" w:rsidRDefault="00606A2E" w:rsidP="00606A2E">
            <w:pPr>
              <w:pStyle w:val="Sinespaciado"/>
              <w:rPr>
                <w:rFonts w:ascii="Arial" w:hAnsi="Arial" w:cs="Arial"/>
                <w:color w:val="000000" w:themeColor="text1"/>
              </w:rPr>
            </w:pPr>
          </w:p>
        </w:tc>
        <w:tc>
          <w:tcPr>
            <w:tcW w:w="2590" w:type="dxa"/>
          </w:tcPr>
          <w:p w14:paraId="7EC58093" w14:textId="5C339D58" w:rsidR="00606A2E" w:rsidRPr="0072773F" w:rsidRDefault="00606A2E" w:rsidP="00606A2E">
            <w:pPr>
              <w:pStyle w:val="Sinespaciado"/>
              <w:rPr>
                <w:rFonts w:ascii="Arial" w:hAnsi="Arial" w:cs="Arial"/>
                <w:color w:val="000000" w:themeColor="text1"/>
              </w:rPr>
            </w:pPr>
            <w:r w:rsidRPr="001C02C9">
              <w:rPr>
                <w:rFonts w:cs="Calibri"/>
                <w:sz w:val="22"/>
                <w:szCs w:val="22"/>
              </w:rPr>
              <w:t>Se realizó el análisis, depuración y consolidación del reporte unificado de Hechos Económicos y Bienes Inmuebles de la Regional Tolima, procesando de manera integral la información técnica y los datos de infraestructura remitidos por los diferentes centros de formación. Este proceso incluyó la verificación de las construcciones en curso, el cruce técnico de los valores invertidos en los mantenimientos del periodo y la estructuración de la base de datos definitiva, la cual fue entregada formalmente a la Dirección Regional para su reporte oportuno al Grupo de Bienes Inmuebles de la Dirección General para los cierres contables y administrativos.</w:t>
            </w:r>
          </w:p>
        </w:tc>
        <w:tc>
          <w:tcPr>
            <w:tcW w:w="4682" w:type="dxa"/>
          </w:tcPr>
          <w:p w14:paraId="79E28DAC" w14:textId="75B6CD29" w:rsidR="00606A2E" w:rsidRPr="0072773F" w:rsidRDefault="00606A2E" w:rsidP="00606A2E">
            <w:pPr>
              <w:pStyle w:val="Sinespaciado"/>
              <w:rPr>
                <w:rFonts w:ascii="Arial" w:hAnsi="Arial" w:cs="Arial"/>
                <w:color w:val="000000" w:themeColor="text1"/>
              </w:rPr>
            </w:pPr>
            <w:r>
              <w:rPr>
                <w:rFonts w:cs="Calibri"/>
                <w:sz w:val="22"/>
                <w:szCs w:val="22"/>
              </w:rPr>
              <w:t xml:space="preserve">En </w:t>
            </w:r>
            <w:r w:rsidRPr="001C02C9">
              <w:rPr>
                <w:rFonts w:cs="Calibri"/>
                <w:sz w:val="22"/>
                <w:szCs w:val="22"/>
              </w:rPr>
              <w:t>cumplimiento de esta actividad de consolidación se respalda mediante el reporte técnico definitivo e indexado de Hechos Económicos y Bienes Inmuebles de la regional</w:t>
            </w:r>
            <w:r w:rsidR="00515A1C">
              <w:rPr>
                <w:rFonts w:cs="Calibri"/>
                <w:sz w:val="22"/>
                <w:szCs w:val="22"/>
              </w:rPr>
              <w:t xml:space="preserve"> del mes d </w:t>
            </w:r>
            <w:proofErr w:type="spellStart"/>
            <w:r w:rsidR="00515A1C">
              <w:rPr>
                <w:rFonts w:cs="Calibri"/>
                <w:sz w:val="22"/>
                <w:szCs w:val="22"/>
              </w:rPr>
              <w:t>ejunio</w:t>
            </w:r>
            <w:proofErr w:type="spellEnd"/>
            <w:r w:rsidRPr="001C02C9">
              <w:rPr>
                <w:rFonts w:cs="Calibri"/>
                <w:sz w:val="22"/>
                <w:szCs w:val="22"/>
              </w:rPr>
              <w:t>, las matrices técnicas de control procesadas con los datos de los centros de formación, y la copia del correo electrónico institucional de remisión oficial donde se envía la información depurada a la Dirección Regional para su respectivo traslado a la Dirección General.</w:t>
            </w:r>
          </w:p>
        </w:tc>
      </w:tr>
    </w:tbl>
    <w:p w14:paraId="2B26EEDC" w14:textId="1C381D13" w:rsidR="007C682D" w:rsidRDefault="007C682D"/>
    <w:p w14:paraId="0A4F2D0E" w14:textId="62A60E3A" w:rsidR="00AB4423" w:rsidRDefault="00DF084B">
      <w:r>
        <w:t>OBLIGACION 1</w:t>
      </w:r>
      <w:r w:rsidR="008C289D">
        <w:t>7</w:t>
      </w:r>
      <w:r w:rsidR="009E2C82">
        <w:t>.</w:t>
      </w:r>
    </w:p>
    <w:p w14:paraId="6AF9CE76" w14:textId="7AA4F5A3" w:rsidR="004F20BE" w:rsidRDefault="004F20BE"/>
    <w:p w14:paraId="3D6897DB" w14:textId="7D95F02B" w:rsidR="00AB4423" w:rsidRDefault="00AB4423"/>
    <w:p w14:paraId="32381AC4" w14:textId="3AAF5AF7" w:rsidR="0018274B" w:rsidRDefault="0018274B"/>
    <w:p w14:paraId="73B4D3B0" w14:textId="7441854D" w:rsidR="0018274B" w:rsidRDefault="0018274B"/>
    <w:p w14:paraId="14C4B127" w14:textId="558B125F" w:rsidR="0018274B" w:rsidRDefault="0018274B"/>
    <w:p w14:paraId="11D0690B" w14:textId="534C9C01" w:rsidR="008C2D0B" w:rsidRDefault="008C2D0B"/>
    <w:p w14:paraId="66E0E9A9" w14:textId="3D09B5DE" w:rsidR="008C2D0B" w:rsidRDefault="008C2D0B"/>
    <w:sectPr w:rsidR="008C2D0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7D7"/>
    <w:rsid w:val="00036A85"/>
    <w:rsid w:val="00093E5E"/>
    <w:rsid w:val="0009778F"/>
    <w:rsid w:val="000A3EEB"/>
    <w:rsid w:val="000B19FE"/>
    <w:rsid w:val="0012154D"/>
    <w:rsid w:val="00161652"/>
    <w:rsid w:val="0018274B"/>
    <w:rsid w:val="001B3F32"/>
    <w:rsid w:val="001E60B5"/>
    <w:rsid w:val="001F1769"/>
    <w:rsid w:val="002311EB"/>
    <w:rsid w:val="00290E89"/>
    <w:rsid w:val="00292414"/>
    <w:rsid w:val="002D1549"/>
    <w:rsid w:val="0031010E"/>
    <w:rsid w:val="00454A59"/>
    <w:rsid w:val="004D41A1"/>
    <w:rsid w:val="004E3A39"/>
    <w:rsid w:val="004F20BE"/>
    <w:rsid w:val="00515A1C"/>
    <w:rsid w:val="00537D06"/>
    <w:rsid w:val="005A4042"/>
    <w:rsid w:val="005B1F6E"/>
    <w:rsid w:val="005F3D84"/>
    <w:rsid w:val="00606A2E"/>
    <w:rsid w:val="00661997"/>
    <w:rsid w:val="00681A2B"/>
    <w:rsid w:val="006A1507"/>
    <w:rsid w:val="0072773F"/>
    <w:rsid w:val="00750BDF"/>
    <w:rsid w:val="00776509"/>
    <w:rsid w:val="00796DD3"/>
    <w:rsid w:val="007C682D"/>
    <w:rsid w:val="00810DC6"/>
    <w:rsid w:val="00816649"/>
    <w:rsid w:val="008266A7"/>
    <w:rsid w:val="00861E67"/>
    <w:rsid w:val="008827D7"/>
    <w:rsid w:val="00885415"/>
    <w:rsid w:val="008A0132"/>
    <w:rsid w:val="008C289D"/>
    <w:rsid w:val="008C2D0B"/>
    <w:rsid w:val="008E44E0"/>
    <w:rsid w:val="00906B8F"/>
    <w:rsid w:val="0098273E"/>
    <w:rsid w:val="00987401"/>
    <w:rsid w:val="009A1376"/>
    <w:rsid w:val="009B4773"/>
    <w:rsid w:val="009E2C82"/>
    <w:rsid w:val="009E7DAD"/>
    <w:rsid w:val="00A665AB"/>
    <w:rsid w:val="00A70F55"/>
    <w:rsid w:val="00AA7177"/>
    <w:rsid w:val="00AB4423"/>
    <w:rsid w:val="00AF5B4E"/>
    <w:rsid w:val="00B560E0"/>
    <w:rsid w:val="00B62685"/>
    <w:rsid w:val="00BB2EFF"/>
    <w:rsid w:val="00C22E5B"/>
    <w:rsid w:val="00C23996"/>
    <w:rsid w:val="00C372ED"/>
    <w:rsid w:val="00CB0CE3"/>
    <w:rsid w:val="00D5455A"/>
    <w:rsid w:val="00DA4C16"/>
    <w:rsid w:val="00DF084B"/>
    <w:rsid w:val="00DF6EE9"/>
    <w:rsid w:val="00E416D5"/>
    <w:rsid w:val="00E46338"/>
    <w:rsid w:val="00E64D78"/>
    <w:rsid w:val="00EA77EA"/>
    <w:rsid w:val="00F05721"/>
    <w:rsid w:val="00F64A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90C58"/>
  <w15:chartTrackingRefBased/>
  <w15:docId w15:val="{EF2A5A66-4F22-4054-8495-1B0FC41C3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7D7"/>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827D7"/>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qFormat/>
    <w:rsid w:val="008827D7"/>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8827D7"/>
    <w:rPr>
      <w:rFonts w:eastAsiaTheme="minorEastAsia"/>
      <w:lang w:eastAsia="es-CO"/>
    </w:rPr>
  </w:style>
  <w:style w:type="paragraph" w:styleId="Encabezado">
    <w:name w:val="header"/>
    <w:basedOn w:val="Normal"/>
    <w:link w:val="EncabezadoCar"/>
    <w:unhideWhenUsed/>
    <w:rsid w:val="0081664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1664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198</Words>
  <Characters>1089</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Morales Ruiz</dc:creator>
  <cp:keywords/>
  <dc:description/>
  <cp:lastModifiedBy>Shirly Paola Indira Morales Ruiz</cp:lastModifiedBy>
  <cp:revision>7</cp:revision>
  <dcterms:created xsi:type="dcterms:W3CDTF">2026-01-22T23:54:00Z</dcterms:created>
  <dcterms:modified xsi:type="dcterms:W3CDTF">2026-07-21T14:42:00Z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2025-03-19T15:28:11Z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838c6d2d-55ed-4294-99a1-d0da6d8da779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